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B3A77" w14:textId="77777777" w:rsidR="0055217E" w:rsidRPr="0055217E" w:rsidRDefault="0055217E" w:rsidP="0055217E">
      <w:pPr>
        <w:rPr>
          <w:rFonts w:ascii="Calibri" w:hAnsi="Calibri" w:cs="Calibri"/>
          <w:b/>
          <w:bCs/>
        </w:rPr>
      </w:pPr>
      <w:r w:rsidRPr="0055217E">
        <w:rPr>
          <w:rFonts w:ascii="Calibri" w:hAnsi="Calibri" w:cs="Calibri"/>
          <w:b/>
          <w:bCs/>
        </w:rPr>
        <w:t>Executive Summary</w:t>
      </w:r>
    </w:p>
    <w:p w14:paraId="131EAAD2" w14:textId="77777777" w:rsidR="0055217E" w:rsidRPr="0055217E" w:rsidRDefault="0055217E" w:rsidP="0055217E">
      <w:pPr>
        <w:rPr>
          <w:rFonts w:ascii="Calibri" w:hAnsi="Calibri" w:cs="Calibri"/>
        </w:rPr>
      </w:pPr>
      <w:r w:rsidRPr="0055217E">
        <w:rPr>
          <w:rFonts w:ascii="Calibri" w:hAnsi="Calibri" w:cs="Calibri"/>
        </w:rPr>
        <w:t>In 2025, the cooperative blood donor community remained stable, with 3.21 million donors contributing more than 6.33 million donations. While the number of donors declined slightly (−0.71%), total donations increased modestly (+0.18%), resulting in a small rise in average donation frequency.</w:t>
      </w:r>
    </w:p>
    <w:p w14:paraId="1A8BE7A0" w14:textId="77777777" w:rsidR="0055217E" w:rsidRPr="0055217E" w:rsidRDefault="0055217E" w:rsidP="0055217E">
      <w:pPr>
        <w:rPr>
          <w:rFonts w:ascii="Calibri" w:hAnsi="Calibri" w:cs="Calibri"/>
        </w:rPr>
      </w:pPr>
      <w:r w:rsidRPr="0055217E">
        <w:rPr>
          <w:rFonts w:ascii="Calibri" w:hAnsi="Calibri" w:cs="Calibri"/>
        </w:rPr>
        <w:t>Donation activity continued to shift toward middle-aged and older donors, while participation among younger donors remained relatively flat. At the same time, the donor population continued to gradually diversify across several demographic groups.</w:t>
      </w:r>
    </w:p>
    <w:p w14:paraId="0441947C" w14:textId="77777777" w:rsidR="0055217E" w:rsidRPr="0055217E" w:rsidRDefault="0055217E" w:rsidP="0055217E">
      <w:pPr>
        <w:rPr>
          <w:rFonts w:ascii="Calibri" w:hAnsi="Calibri" w:cs="Calibri"/>
        </w:rPr>
      </w:pPr>
      <w:r w:rsidRPr="0055217E">
        <w:rPr>
          <w:rFonts w:ascii="Calibri" w:hAnsi="Calibri" w:cs="Calibri"/>
        </w:rPr>
        <w:t>Overall, the data reflects a stable donor base with strong engagement among active donors, while highlighting the continued importance of recruiting and retaining younger donors.</w:t>
      </w:r>
      <w:r w:rsidR="00000000">
        <w:rPr>
          <w:rFonts w:ascii="Calibri" w:hAnsi="Calibri" w:cs="Calibri"/>
        </w:rPr>
        <w:pict w14:anchorId="40CB491A">
          <v:rect id="_x0000_i1025" style="width:0;height:1.5pt" o:hralign="center" o:hrstd="t" o:hr="t" fillcolor="#a0a0a0" stroked="f"/>
        </w:pict>
      </w:r>
    </w:p>
    <w:p w14:paraId="62EA04BA" w14:textId="77777777" w:rsidR="0055217E" w:rsidRPr="0055217E" w:rsidRDefault="0055217E" w:rsidP="0055217E">
      <w:pPr>
        <w:rPr>
          <w:rFonts w:ascii="Calibri" w:hAnsi="Calibri" w:cs="Calibri"/>
          <w:b/>
          <w:bCs/>
        </w:rPr>
      </w:pPr>
      <w:r w:rsidRPr="0055217E">
        <w:rPr>
          <w:rFonts w:ascii="Calibri" w:hAnsi="Calibri" w:cs="Calibri"/>
          <w:b/>
          <w:bCs/>
        </w:rPr>
        <w:t>Donor Participation Overview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00"/>
        <w:gridCol w:w="1350"/>
        <w:gridCol w:w="1583"/>
        <w:gridCol w:w="1927"/>
      </w:tblGrid>
      <w:tr w:rsidR="0055217E" w:rsidRPr="0055217E" w14:paraId="70C4C6C9" w14:textId="77777777">
        <w:trPr>
          <w:tblHeader/>
          <w:tblCellSpacing w:w="15" w:type="dxa"/>
        </w:trPr>
        <w:tc>
          <w:tcPr>
            <w:tcW w:w="3555" w:type="dxa"/>
            <w:vAlign w:val="center"/>
            <w:hideMark/>
          </w:tcPr>
          <w:p w14:paraId="46C44FCD" w14:textId="77777777" w:rsidR="0055217E" w:rsidRPr="0055217E" w:rsidRDefault="0055217E" w:rsidP="0055217E">
            <w:pPr>
              <w:rPr>
                <w:rFonts w:ascii="Calibri" w:hAnsi="Calibri" w:cs="Calibri"/>
              </w:rPr>
            </w:pPr>
            <w:r w:rsidRPr="0055217E">
              <w:rPr>
                <w:rFonts w:ascii="Calibri" w:hAnsi="Calibri" w:cs="Calibri"/>
              </w:rPr>
              <w:t>Metric</w:t>
            </w:r>
          </w:p>
        </w:tc>
        <w:tc>
          <w:tcPr>
            <w:tcW w:w="1320" w:type="dxa"/>
            <w:vAlign w:val="center"/>
            <w:hideMark/>
          </w:tcPr>
          <w:p w14:paraId="74364B74" w14:textId="77777777" w:rsidR="0055217E" w:rsidRPr="0055217E" w:rsidRDefault="0055217E" w:rsidP="0055217E">
            <w:pPr>
              <w:rPr>
                <w:rFonts w:ascii="Calibri" w:hAnsi="Calibri" w:cs="Calibri"/>
              </w:rPr>
            </w:pPr>
            <w:r w:rsidRPr="0055217E">
              <w:rPr>
                <w:rFonts w:ascii="Calibri" w:hAnsi="Calibri" w:cs="Calibri"/>
              </w:rPr>
              <w:t>2024</w:t>
            </w:r>
          </w:p>
        </w:tc>
        <w:tc>
          <w:tcPr>
            <w:tcW w:w="1553" w:type="dxa"/>
            <w:vAlign w:val="center"/>
            <w:hideMark/>
          </w:tcPr>
          <w:p w14:paraId="61F99521" w14:textId="77777777" w:rsidR="0055217E" w:rsidRPr="0055217E" w:rsidRDefault="0055217E" w:rsidP="0055217E">
            <w:pPr>
              <w:rPr>
                <w:rFonts w:ascii="Calibri" w:hAnsi="Calibri" w:cs="Calibri"/>
              </w:rPr>
            </w:pPr>
            <w:r w:rsidRPr="0055217E">
              <w:rPr>
                <w:rFonts w:ascii="Calibri" w:hAnsi="Calibri" w:cs="Calibri"/>
              </w:rPr>
              <w:t>2025</w:t>
            </w:r>
          </w:p>
        </w:tc>
        <w:tc>
          <w:tcPr>
            <w:tcW w:w="1882" w:type="dxa"/>
            <w:vAlign w:val="center"/>
            <w:hideMark/>
          </w:tcPr>
          <w:p w14:paraId="3EDAF3B9" w14:textId="77777777" w:rsidR="0055217E" w:rsidRPr="0055217E" w:rsidRDefault="0055217E" w:rsidP="0055217E">
            <w:pPr>
              <w:rPr>
                <w:rFonts w:ascii="Calibri" w:hAnsi="Calibri" w:cs="Calibri"/>
              </w:rPr>
            </w:pPr>
            <w:r w:rsidRPr="0055217E">
              <w:rPr>
                <w:rFonts w:ascii="Calibri" w:hAnsi="Calibri" w:cs="Calibri"/>
              </w:rPr>
              <w:t>YoY Change</w:t>
            </w:r>
          </w:p>
        </w:tc>
      </w:tr>
      <w:tr w:rsidR="0055217E" w:rsidRPr="0055217E" w14:paraId="6885C75C" w14:textId="77777777">
        <w:trPr>
          <w:tblCellSpacing w:w="15" w:type="dxa"/>
        </w:trPr>
        <w:tc>
          <w:tcPr>
            <w:tcW w:w="3555" w:type="dxa"/>
            <w:vAlign w:val="center"/>
            <w:hideMark/>
          </w:tcPr>
          <w:p w14:paraId="480B1145" w14:textId="77777777" w:rsidR="0055217E" w:rsidRPr="0055217E" w:rsidRDefault="0055217E" w:rsidP="0055217E">
            <w:pPr>
              <w:rPr>
                <w:rFonts w:ascii="Calibri" w:hAnsi="Calibri" w:cs="Calibri"/>
              </w:rPr>
            </w:pPr>
            <w:r w:rsidRPr="0055217E">
              <w:rPr>
                <w:rFonts w:ascii="Calibri" w:hAnsi="Calibri" w:cs="Calibri"/>
              </w:rPr>
              <w:t>Total Donors</w:t>
            </w:r>
          </w:p>
        </w:tc>
        <w:tc>
          <w:tcPr>
            <w:tcW w:w="1320" w:type="dxa"/>
            <w:vAlign w:val="center"/>
            <w:hideMark/>
          </w:tcPr>
          <w:p w14:paraId="6BA24E78" w14:textId="77777777" w:rsidR="0055217E" w:rsidRPr="0055217E" w:rsidRDefault="0055217E" w:rsidP="0055217E">
            <w:pPr>
              <w:rPr>
                <w:rFonts w:ascii="Calibri" w:hAnsi="Calibri" w:cs="Calibri"/>
              </w:rPr>
            </w:pPr>
            <w:r w:rsidRPr="0055217E">
              <w:rPr>
                <w:rFonts w:ascii="Calibri" w:hAnsi="Calibri" w:cs="Calibri"/>
              </w:rPr>
              <w:t>3,238,478</w:t>
            </w:r>
          </w:p>
        </w:tc>
        <w:tc>
          <w:tcPr>
            <w:tcW w:w="1553" w:type="dxa"/>
            <w:vAlign w:val="center"/>
            <w:hideMark/>
          </w:tcPr>
          <w:p w14:paraId="4CA93998" w14:textId="77777777" w:rsidR="0055217E" w:rsidRPr="0055217E" w:rsidRDefault="0055217E" w:rsidP="0055217E">
            <w:pPr>
              <w:rPr>
                <w:rFonts w:ascii="Calibri" w:hAnsi="Calibri" w:cs="Calibri"/>
              </w:rPr>
            </w:pPr>
            <w:r w:rsidRPr="0055217E">
              <w:rPr>
                <w:rFonts w:ascii="Calibri" w:hAnsi="Calibri" w:cs="Calibri"/>
              </w:rPr>
              <w:t>3,215,439</w:t>
            </w:r>
          </w:p>
        </w:tc>
        <w:tc>
          <w:tcPr>
            <w:tcW w:w="1882" w:type="dxa"/>
            <w:vAlign w:val="center"/>
            <w:hideMark/>
          </w:tcPr>
          <w:p w14:paraId="13135A8E" w14:textId="77777777" w:rsidR="0055217E" w:rsidRPr="0055217E" w:rsidRDefault="0055217E" w:rsidP="0055217E">
            <w:pPr>
              <w:rPr>
                <w:rFonts w:ascii="Calibri" w:hAnsi="Calibri" w:cs="Calibri"/>
              </w:rPr>
            </w:pPr>
            <w:r w:rsidRPr="0055217E">
              <w:rPr>
                <w:rFonts w:ascii="Calibri" w:hAnsi="Calibri" w:cs="Calibri"/>
              </w:rPr>
              <w:t>-0.71%</w:t>
            </w:r>
          </w:p>
        </w:tc>
      </w:tr>
      <w:tr w:rsidR="0055217E" w:rsidRPr="0055217E" w14:paraId="414AA8FA" w14:textId="77777777">
        <w:trPr>
          <w:tblCellSpacing w:w="15" w:type="dxa"/>
        </w:trPr>
        <w:tc>
          <w:tcPr>
            <w:tcW w:w="3555" w:type="dxa"/>
            <w:vAlign w:val="center"/>
            <w:hideMark/>
          </w:tcPr>
          <w:p w14:paraId="6F3E0317" w14:textId="77777777" w:rsidR="0055217E" w:rsidRPr="0055217E" w:rsidRDefault="0055217E" w:rsidP="0055217E">
            <w:pPr>
              <w:rPr>
                <w:rFonts w:ascii="Calibri" w:hAnsi="Calibri" w:cs="Calibri"/>
              </w:rPr>
            </w:pPr>
            <w:r w:rsidRPr="0055217E">
              <w:rPr>
                <w:rFonts w:ascii="Calibri" w:hAnsi="Calibri" w:cs="Calibri"/>
              </w:rPr>
              <w:t>Total Donations</w:t>
            </w:r>
          </w:p>
        </w:tc>
        <w:tc>
          <w:tcPr>
            <w:tcW w:w="1320" w:type="dxa"/>
            <w:vAlign w:val="center"/>
            <w:hideMark/>
          </w:tcPr>
          <w:p w14:paraId="39096E0F" w14:textId="77777777" w:rsidR="0055217E" w:rsidRPr="0055217E" w:rsidRDefault="0055217E" w:rsidP="0055217E">
            <w:pPr>
              <w:rPr>
                <w:rFonts w:ascii="Calibri" w:hAnsi="Calibri" w:cs="Calibri"/>
              </w:rPr>
            </w:pPr>
            <w:r w:rsidRPr="0055217E">
              <w:rPr>
                <w:rFonts w:ascii="Calibri" w:hAnsi="Calibri" w:cs="Calibri"/>
              </w:rPr>
              <w:t>6,318,426</w:t>
            </w:r>
          </w:p>
        </w:tc>
        <w:tc>
          <w:tcPr>
            <w:tcW w:w="1553" w:type="dxa"/>
            <w:vAlign w:val="center"/>
            <w:hideMark/>
          </w:tcPr>
          <w:p w14:paraId="39D01416" w14:textId="77777777" w:rsidR="0055217E" w:rsidRPr="0055217E" w:rsidRDefault="0055217E" w:rsidP="0055217E">
            <w:pPr>
              <w:rPr>
                <w:rFonts w:ascii="Calibri" w:hAnsi="Calibri" w:cs="Calibri"/>
              </w:rPr>
            </w:pPr>
            <w:r w:rsidRPr="0055217E">
              <w:rPr>
                <w:rFonts w:ascii="Calibri" w:hAnsi="Calibri" w:cs="Calibri"/>
              </w:rPr>
              <w:t>6,330,049</w:t>
            </w:r>
          </w:p>
        </w:tc>
        <w:tc>
          <w:tcPr>
            <w:tcW w:w="1882" w:type="dxa"/>
            <w:vAlign w:val="center"/>
            <w:hideMark/>
          </w:tcPr>
          <w:p w14:paraId="7E9F5346" w14:textId="77777777" w:rsidR="0055217E" w:rsidRPr="0055217E" w:rsidRDefault="0055217E" w:rsidP="0055217E">
            <w:pPr>
              <w:rPr>
                <w:rFonts w:ascii="Calibri" w:hAnsi="Calibri" w:cs="Calibri"/>
              </w:rPr>
            </w:pPr>
            <w:r w:rsidRPr="0055217E">
              <w:rPr>
                <w:rFonts w:ascii="Calibri" w:hAnsi="Calibri" w:cs="Calibri"/>
              </w:rPr>
              <w:t>+0.18%</w:t>
            </w:r>
          </w:p>
        </w:tc>
      </w:tr>
      <w:tr w:rsidR="0055217E" w:rsidRPr="0055217E" w14:paraId="164556ED" w14:textId="77777777">
        <w:trPr>
          <w:tblCellSpacing w:w="15" w:type="dxa"/>
        </w:trPr>
        <w:tc>
          <w:tcPr>
            <w:tcW w:w="3555" w:type="dxa"/>
            <w:vAlign w:val="center"/>
            <w:hideMark/>
          </w:tcPr>
          <w:p w14:paraId="68416518" w14:textId="77777777" w:rsidR="0055217E" w:rsidRPr="0055217E" w:rsidRDefault="0055217E" w:rsidP="0055217E">
            <w:pPr>
              <w:rPr>
                <w:rFonts w:ascii="Calibri" w:hAnsi="Calibri" w:cs="Calibri"/>
              </w:rPr>
            </w:pPr>
            <w:r w:rsidRPr="0055217E">
              <w:rPr>
                <w:rFonts w:ascii="Calibri" w:hAnsi="Calibri" w:cs="Calibri"/>
              </w:rPr>
              <w:t>Average Donations per Donor</w:t>
            </w:r>
          </w:p>
        </w:tc>
        <w:tc>
          <w:tcPr>
            <w:tcW w:w="1320" w:type="dxa"/>
            <w:vAlign w:val="center"/>
            <w:hideMark/>
          </w:tcPr>
          <w:p w14:paraId="2FD04799" w14:textId="77777777" w:rsidR="0055217E" w:rsidRPr="0055217E" w:rsidRDefault="0055217E" w:rsidP="0055217E">
            <w:pPr>
              <w:rPr>
                <w:rFonts w:ascii="Calibri" w:hAnsi="Calibri" w:cs="Calibri"/>
              </w:rPr>
            </w:pPr>
            <w:r w:rsidRPr="0055217E">
              <w:rPr>
                <w:rFonts w:ascii="Calibri" w:hAnsi="Calibri" w:cs="Calibri"/>
              </w:rPr>
              <w:t>1.95</w:t>
            </w:r>
          </w:p>
        </w:tc>
        <w:tc>
          <w:tcPr>
            <w:tcW w:w="1553" w:type="dxa"/>
            <w:vAlign w:val="center"/>
            <w:hideMark/>
          </w:tcPr>
          <w:p w14:paraId="6457986A" w14:textId="77777777" w:rsidR="0055217E" w:rsidRPr="0055217E" w:rsidRDefault="0055217E" w:rsidP="0055217E">
            <w:pPr>
              <w:rPr>
                <w:rFonts w:ascii="Calibri" w:hAnsi="Calibri" w:cs="Calibri"/>
              </w:rPr>
            </w:pPr>
            <w:r w:rsidRPr="0055217E">
              <w:rPr>
                <w:rFonts w:ascii="Calibri" w:hAnsi="Calibri" w:cs="Calibri"/>
              </w:rPr>
              <w:t>1.97</w:t>
            </w:r>
          </w:p>
        </w:tc>
        <w:tc>
          <w:tcPr>
            <w:tcW w:w="1882" w:type="dxa"/>
            <w:vAlign w:val="center"/>
            <w:hideMark/>
          </w:tcPr>
          <w:p w14:paraId="0F7F0090" w14:textId="77777777" w:rsidR="0055217E" w:rsidRPr="0055217E" w:rsidRDefault="0055217E" w:rsidP="0055217E">
            <w:pPr>
              <w:rPr>
                <w:rFonts w:ascii="Calibri" w:hAnsi="Calibri" w:cs="Calibri"/>
              </w:rPr>
            </w:pPr>
            <w:r w:rsidRPr="0055217E">
              <w:rPr>
                <w:rFonts w:ascii="Calibri" w:hAnsi="Calibri" w:cs="Calibri"/>
              </w:rPr>
              <w:t>+0.90%</w:t>
            </w:r>
          </w:p>
        </w:tc>
      </w:tr>
    </w:tbl>
    <w:p w14:paraId="7D2487ED" w14:textId="77777777" w:rsidR="0055217E" w:rsidRPr="0055217E" w:rsidRDefault="0055217E" w:rsidP="0055217E">
      <w:pPr>
        <w:rPr>
          <w:rFonts w:ascii="Calibri" w:hAnsi="Calibri" w:cs="Calibri"/>
        </w:rPr>
      </w:pPr>
      <w:r w:rsidRPr="0055217E">
        <w:rPr>
          <w:rFonts w:ascii="Calibri" w:hAnsi="Calibri" w:cs="Calibri"/>
        </w:rPr>
        <w:t>Although the total number of donors declined slightly, overall donation volume increased. This resulted in a modest increase in average donation frequency, suggesting that active donors contributed more consistently throughout the year.</w:t>
      </w:r>
    </w:p>
    <w:p w14:paraId="7D7F9A63" w14:textId="77777777" w:rsidR="0055217E" w:rsidRPr="0055217E" w:rsidRDefault="00000000" w:rsidP="0055217E">
      <w:pPr>
        <w:rPr>
          <w:rFonts w:ascii="Calibri" w:hAnsi="Calibri" w:cs="Calibri"/>
        </w:rPr>
      </w:pPr>
      <w:r>
        <w:rPr>
          <w:rFonts w:ascii="Calibri" w:hAnsi="Calibri" w:cs="Calibri"/>
        </w:rPr>
        <w:pict w14:anchorId="51C0385F">
          <v:rect id="_x0000_i1026" style="width:0;height:1.5pt" o:hralign="center" o:hrstd="t" o:hr="t" fillcolor="#a0a0a0" stroked="f"/>
        </w:pict>
      </w:r>
    </w:p>
    <w:p w14:paraId="2352BB95" w14:textId="77777777" w:rsidR="0055217E" w:rsidRPr="0055217E" w:rsidRDefault="0055217E" w:rsidP="0055217E">
      <w:pPr>
        <w:rPr>
          <w:rFonts w:ascii="Calibri" w:hAnsi="Calibri" w:cs="Calibri"/>
          <w:b/>
          <w:bCs/>
        </w:rPr>
      </w:pPr>
      <w:r w:rsidRPr="0055217E">
        <w:rPr>
          <w:rFonts w:ascii="Calibri" w:hAnsi="Calibri" w:cs="Calibri"/>
          <w:b/>
          <w:bCs/>
        </w:rPr>
        <w:t>Demographic Trends</w:t>
      </w:r>
    </w:p>
    <w:p w14:paraId="37F30118" w14:textId="77777777" w:rsidR="0055217E" w:rsidRPr="0055217E" w:rsidRDefault="0055217E" w:rsidP="0055217E">
      <w:pPr>
        <w:rPr>
          <w:rFonts w:ascii="Calibri" w:hAnsi="Calibri" w:cs="Calibri"/>
          <w:b/>
          <w:bCs/>
        </w:rPr>
      </w:pPr>
      <w:r w:rsidRPr="0055217E">
        <w:rPr>
          <w:rFonts w:ascii="Calibri" w:hAnsi="Calibri" w:cs="Calibri"/>
          <w:b/>
          <w:bCs/>
        </w:rPr>
        <w:t>Age Group Trends</w:t>
      </w:r>
    </w:p>
    <w:p w14:paraId="007DD7E1" w14:textId="1F1CCD82" w:rsidR="0055217E" w:rsidRPr="0055217E" w:rsidRDefault="00564222" w:rsidP="0055217E">
      <w:pPr>
        <w:rPr>
          <w:rFonts w:ascii="Calibri" w:hAnsi="Calibri" w:cs="Calibri"/>
        </w:rPr>
      </w:pPr>
      <w:r>
        <w:rPr>
          <w:rFonts w:ascii="Calibri" w:hAnsi="Calibri" w:cs="Calibri"/>
        </w:rPr>
        <w:t>The following age group trends represents</w:t>
      </w:r>
      <w:r w:rsidR="003F546B">
        <w:rPr>
          <w:rFonts w:ascii="Calibri" w:hAnsi="Calibri" w:cs="Calibri"/>
        </w:rPr>
        <w:t xml:space="preserve"> overall</w:t>
      </w:r>
      <w:r>
        <w:rPr>
          <w:rFonts w:ascii="Calibri" w:hAnsi="Calibri" w:cs="Calibri"/>
        </w:rPr>
        <w:t xml:space="preserve"> d</w:t>
      </w:r>
      <w:r w:rsidR="0055217E" w:rsidRPr="0055217E">
        <w:rPr>
          <w:rFonts w:ascii="Calibri" w:hAnsi="Calibri" w:cs="Calibri"/>
        </w:rPr>
        <w:t xml:space="preserve">onation activity </w:t>
      </w:r>
      <w:r w:rsidR="00E3016A">
        <w:rPr>
          <w:rFonts w:ascii="Calibri" w:hAnsi="Calibri" w:cs="Calibri"/>
        </w:rPr>
        <w:t>across both male and female donors</w:t>
      </w:r>
      <w:r w:rsidR="0055217E" w:rsidRPr="0055217E">
        <w:rPr>
          <w:rFonts w:ascii="Calibri" w:hAnsi="Calibri" w:cs="Calibri"/>
        </w:rPr>
        <w:t>.</w:t>
      </w:r>
    </w:p>
    <w:p w14:paraId="76CF8443" w14:textId="2F04BFD5" w:rsidR="0055217E" w:rsidRPr="0055217E" w:rsidRDefault="0055217E" w:rsidP="0055217E">
      <w:pPr>
        <w:rPr>
          <w:rFonts w:ascii="Calibri" w:hAnsi="Calibri" w:cs="Calibri"/>
        </w:rPr>
      </w:pPr>
      <w:r w:rsidRPr="0055217E">
        <w:rPr>
          <w:rFonts w:ascii="Calibri" w:hAnsi="Calibri" w:cs="Calibri"/>
        </w:rPr>
        <w:t>The strongest growth occurred among middle-aged and older donors:</w:t>
      </w:r>
    </w:p>
    <w:p w14:paraId="12120105" w14:textId="3767DCF2" w:rsidR="0055217E" w:rsidRPr="0055217E" w:rsidRDefault="0055217E" w:rsidP="0055217E">
      <w:pPr>
        <w:numPr>
          <w:ilvl w:val="0"/>
          <w:numId w:val="1"/>
        </w:numPr>
        <w:rPr>
          <w:rFonts w:ascii="Calibri" w:hAnsi="Calibri" w:cs="Calibri"/>
        </w:rPr>
      </w:pPr>
      <w:r w:rsidRPr="0055217E">
        <w:rPr>
          <w:rFonts w:ascii="Calibri" w:hAnsi="Calibri" w:cs="Calibri"/>
        </w:rPr>
        <w:t>Ages 45–49: +4.95% increase in donations</w:t>
      </w:r>
    </w:p>
    <w:p w14:paraId="57BDD370" w14:textId="77777777" w:rsidR="0055217E" w:rsidRPr="0055217E" w:rsidRDefault="0055217E" w:rsidP="0055217E">
      <w:pPr>
        <w:numPr>
          <w:ilvl w:val="0"/>
          <w:numId w:val="1"/>
        </w:numPr>
        <w:rPr>
          <w:rFonts w:ascii="Calibri" w:hAnsi="Calibri" w:cs="Calibri"/>
        </w:rPr>
      </w:pPr>
      <w:r w:rsidRPr="0055217E">
        <w:rPr>
          <w:rFonts w:ascii="Calibri" w:hAnsi="Calibri" w:cs="Calibri"/>
        </w:rPr>
        <w:t>Ages 75–79: +4.24%</w:t>
      </w:r>
    </w:p>
    <w:p w14:paraId="2865597D" w14:textId="77777777" w:rsidR="0055217E" w:rsidRPr="0055217E" w:rsidRDefault="0055217E" w:rsidP="0055217E">
      <w:pPr>
        <w:numPr>
          <w:ilvl w:val="0"/>
          <w:numId w:val="1"/>
        </w:numPr>
        <w:rPr>
          <w:rFonts w:ascii="Calibri" w:hAnsi="Calibri" w:cs="Calibri"/>
        </w:rPr>
      </w:pPr>
      <w:r w:rsidRPr="0055217E">
        <w:rPr>
          <w:rFonts w:ascii="Calibri" w:hAnsi="Calibri" w:cs="Calibri"/>
        </w:rPr>
        <w:t>Ages 80+: +2.61%</w:t>
      </w:r>
    </w:p>
    <w:p w14:paraId="5326D62B" w14:textId="77777777" w:rsidR="0055217E" w:rsidRPr="0055217E" w:rsidRDefault="0055217E" w:rsidP="0055217E">
      <w:pPr>
        <w:rPr>
          <w:rFonts w:ascii="Calibri" w:hAnsi="Calibri" w:cs="Calibri"/>
        </w:rPr>
      </w:pPr>
      <w:r w:rsidRPr="0055217E">
        <w:rPr>
          <w:rFonts w:ascii="Calibri" w:hAnsi="Calibri" w:cs="Calibri"/>
        </w:rPr>
        <w:t>In contrast, participation among younger donors remained relatively stable:</w:t>
      </w:r>
    </w:p>
    <w:p w14:paraId="13F30D96" w14:textId="77777777" w:rsidR="0055217E" w:rsidRPr="0055217E" w:rsidRDefault="0055217E" w:rsidP="0055217E">
      <w:pPr>
        <w:numPr>
          <w:ilvl w:val="0"/>
          <w:numId w:val="2"/>
        </w:numPr>
        <w:rPr>
          <w:rFonts w:ascii="Calibri" w:hAnsi="Calibri" w:cs="Calibri"/>
        </w:rPr>
      </w:pPr>
      <w:r w:rsidRPr="0055217E">
        <w:rPr>
          <w:rFonts w:ascii="Calibri" w:hAnsi="Calibri" w:cs="Calibri"/>
        </w:rPr>
        <w:lastRenderedPageBreak/>
        <w:t>19 and under: +1.29%</w:t>
      </w:r>
    </w:p>
    <w:p w14:paraId="6E5CDE6C" w14:textId="77777777" w:rsidR="0055217E" w:rsidRPr="0055217E" w:rsidRDefault="0055217E" w:rsidP="0055217E">
      <w:pPr>
        <w:numPr>
          <w:ilvl w:val="0"/>
          <w:numId w:val="2"/>
        </w:numPr>
        <w:rPr>
          <w:rFonts w:ascii="Calibri" w:hAnsi="Calibri" w:cs="Calibri"/>
        </w:rPr>
      </w:pPr>
      <w:r w:rsidRPr="0055217E">
        <w:rPr>
          <w:rFonts w:ascii="Calibri" w:hAnsi="Calibri" w:cs="Calibri"/>
        </w:rPr>
        <w:t>20–24: −1.46%</w:t>
      </w:r>
    </w:p>
    <w:p w14:paraId="7BCDD881" w14:textId="77777777" w:rsidR="0055217E" w:rsidRPr="0055217E" w:rsidRDefault="0055217E" w:rsidP="0055217E">
      <w:pPr>
        <w:rPr>
          <w:rFonts w:ascii="Calibri" w:hAnsi="Calibri" w:cs="Calibri"/>
        </w:rPr>
      </w:pPr>
      <w:r w:rsidRPr="0055217E">
        <w:rPr>
          <w:rFonts w:ascii="Calibri" w:hAnsi="Calibri" w:cs="Calibri"/>
        </w:rPr>
        <w:t>These patterns reinforce a longer-term trend in which older donors are increasingly responsible for sustaining donation activity, while younger donor recruitment remains an important opportunity for future growth.</w:t>
      </w:r>
    </w:p>
    <w:p w14:paraId="22F7D60F" w14:textId="77777777" w:rsidR="0055217E" w:rsidRPr="0055217E" w:rsidRDefault="00000000" w:rsidP="0055217E">
      <w:pPr>
        <w:rPr>
          <w:rFonts w:ascii="Calibri" w:hAnsi="Calibri" w:cs="Calibri"/>
        </w:rPr>
      </w:pPr>
      <w:r>
        <w:rPr>
          <w:rFonts w:ascii="Calibri" w:hAnsi="Calibri" w:cs="Calibri"/>
        </w:rPr>
        <w:pict w14:anchorId="563F6AC1">
          <v:rect id="_x0000_i1027" style="width:0;height:1.5pt" o:hralign="center" o:hrstd="t" o:hr="t" fillcolor="#a0a0a0" stroked="f"/>
        </w:pict>
      </w:r>
    </w:p>
    <w:p w14:paraId="18DBC768" w14:textId="77777777" w:rsidR="0055217E" w:rsidRPr="0055217E" w:rsidRDefault="0055217E" w:rsidP="0055217E">
      <w:pPr>
        <w:rPr>
          <w:rFonts w:ascii="Calibri" w:hAnsi="Calibri" w:cs="Calibri"/>
          <w:b/>
          <w:bCs/>
        </w:rPr>
      </w:pPr>
      <w:r w:rsidRPr="0055217E">
        <w:rPr>
          <w:rFonts w:ascii="Calibri" w:hAnsi="Calibri" w:cs="Calibri"/>
          <w:b/>
          <w:bCs/>
        </w:rPr>
        <w:t>Gender Trends</w:t>
      </w:r>
    </w:p>
    <w:p w14:paraId="427D9EF9" w14:textId="77777777" w:rsidR="0055217E" w:rsidRPr="0055217E" w:rsidRDefault="0055217E" w:rsidP="0055217E">
      <w:pPr>
        <w:rPr>
          <w:rFonts w:ascii="Calibri" w:hAnsi="Calibri" w:cs="Calibri"/>
        </w:rPr>
      </w:pPr>
      <w:r w:rsidRPr="0055217E">
        <w:rPr>
          <w:rFonts w:ascii="Calibri" w:hAnsi="Calibri" w:cs="Calibri"/>
        </w:rPr>
        <w:t>Donation patterns varied by gender in 2025.</w:t>
      </w:r>
    </w:p>
    <w:p w14:paraId="68488727" w14:textId="77777777" w:rsidR="0055217E" w:rsidRPr="0055217E" w:rsidRDefault="0055217E" w:rsidP="0055217E">
      <w:pPr>
        <w:rPr>
          <w:rFonts w:ascii="Calibri" w:hAnsi="Calibri" w:cs="Calibri"/>
        </w:rPr>
      </w:pPr>
      <w:r w:rsidRPr="0055217E">
        <w:rPr>
          <w:rFonts w:ascii="Calibri" w:hAnsi="Calibri" w:cs="Calibri"/>
        </w:rPr>
        <w:t>• Male donations increased by 3.59%</w:t>
      </w:r>
      <w:r w:rsidRPr="0055217E">
        <w:rPr>
          <w:rFonts w:ascii="Calibri" w:hAnsi="Calibri" w:cs="Calibri"/>
        </w:rPr>
        <w:br/>
        <w:t>• Female donations declined by 4.20%</w:t>
      </w:r>
      <w:r w:rsidRPr="0055217E">
        <w:rPr>
          <w:rFonts w:ascii="Calibri" w:hAnsi="Calibri" w:cs="Calibri"/>
        </w:rPr>
        <w:br/>
        <w:t>• Donations reported under other gender increased significantly (+34%)</w:t>
      </w:r>
    </w:p>
    <w:p w14:paraId="4175D50F" w14:textId="77777777" w:rsidR="0055217E" w:rsidRPr="0055217E" w:rsidRDefault="0055217E" w:rsidP="0055217E">
      <w:pPr>
        <w:rPr>
          <w:rFonts w:ascii="Calibri" w:hAnsi="Calibri" w:cs="Calibri"/>
        </w:rPr>
      </w:pPr>
      <w:r w:rsidRPr="0055217E">
        <w:rPr>
          <w:rFonts w:ascii="Calibri" w:hAnsi="Calibri" w:cs="Calibri"/>
        </w:rPr>
        <w:t>The increase among donors reporting other genders likely reflects both improved demographic reporting and growing participation among a broader range of donors.</w:t>
      </w:r>
    </w:p>
    <w:p w14:paraId="607B7DE2" w14:textId="77777777" w:rsidR="0055217E" w:rsidRPr="0055217E" w:rsidRDefault="00000000" w:rsidP="0055217E">
      <w:pPr>
        <w:rPr>
          <w:rFonts w:ascii="Calibri" w:hAnsi="Calibri" w:cs="Calibri"/>
        </w:rPr>
      </w:pPr>
      <w:r>
        <w:rPr>
          <w:rFonts w:ascii="Calibri" w:hAnsi="Calibri" w:cs="Calibri"/>
        </w:rPr>
        <w:pict w14:anchorId="59EF4A93">
          <v:rect id="_x0000_i1028" style="width:0;height:1.5pt" o:hralign="center" o:hrstd="t" o:hr="t" fillcolor="#a0a0a0" stroked="f"/>
        </w:pict>
      </w:r>
    </w:p>
    <w:p w14:paraId="7C993458" w14:textId="77777777" w:rsidR="0055217E" w:rsidRPr="0055217E" w:rsidRDefault="0055217E" w:rsidP="0055217E">
      <w:pPr>
        <w:rPr>
          <w:rFonts w:ascii="Calibri" w:hAnsi="Calibri" w:cs="Calibri"/>
          <w:b/>
          <w:bCs/>
        </w:rPr>
      </w:pPr>
      <w:r w:rsidRPr="0055217E">
        <w:rPr>
          <w:rFonts w:ascii="Calibri" w:hAnsi="Calibri" w:cs="Calibri"/>
          <w:b/>
          <w:bCs/>
        </w:rPr>
        <w:t>Ethnic Diversity</w:t>
      </w:r>
    </w:p>
    <w:p w14:paraId="1C7A0DBB" w14:textId="77777777" w:rsidR="0055217E" w:rsidRPr="0055217E" w:rsidRDefault="0055217E" w:rsidP="0055217E">
      <w:pPr>
        <w:rPr>
          <w:rFonts w:ascii="Calibri" w:hAnsi="Calibri" w:cs="Calibri"/>
        </w:rPr>
      </w:pPr>
      <w:r w:rsidRPr="0055217E">
        <w:rPr>
          <w:rFonts w:ascii="Calibri" w:hAnsi="Calibri" w:cs="Calibri"/>
        </w:rPr>
        <w:t>The donor population continued to become more diverse in 2025.</w:t>
      </w:r>
    </w:p>
    <w:p w14:paraId="116D78DB" w14:textId="77777777" w:rsidR="0055217E" w:rsidRPr="0055217E" w:rsidRDefault="0055217E" w:rsidP="0055217E">
      <w:pPr>
        <w:rPr>
          <w:rFonts w:ascii="Calibri" w:hAnsi="Calibri" w:cs="Calibri"/>
        </w:rPr>
      </w:pPr>
      <w:r w:rsidRPr="0055217E">
        <w:rPr>
          <w:rFonts w:ascii="Calibri" w:hAnsi="Calibri" w:cs="Calibri"/>
        </w:rPr>
        <w:t>Several demographic groups experienced modest increases in donation activity:</w:t>
      </w:r>
    </w:p>
    <w:p w14:paraId="2FC22CB2" w14:textId="77777777" w:rsidR="0055217E" w:rsidRPr="0055217E" w:rsidRDefault="0055217E" w:rsidP="0055217E">
      <w:pPr>
        <w:numPr>
          <w:ilvl w:val="0"/>
          <w:numId w:val="3"/>
        </w:numPr>
        <w:rPr>
          <w:rFonts w:ascii="Calibri" w:hAnsi="Calibri" w:cs="Calibri"/>
        </w:rPr>
      </w:pPr>
      <w:r w:rsidRPr="0055217E">
        <w:rPr>
          <w:rFonts w:ascii="Calibri" w:hAnsi="Calibri" w:cs="Calibri"/>
        </w:rPr>
        <w:t>Asian donors: +2.85%</w:t>
      </w:r>
    </w:p>
    <w:p w14:paraId="473978EA" w14:textId="77777777" w:rsidR="0055217E" w:rsidRPr="0055217E" w:rsidRDefault="0055217E" w:rsidP="0055217E">
      <w:pPr>
        <w:numPr>
          <w:ilvl w:val="0"/>
          <w:numId w:val="3"/>
        </w:numPr>
        <w:rPr>
          <w:rFonts w:ascii="Calibri" w:hAnsi="Calibri" w:cs="Calibri"/>
        </w:rPr>
      </w:pPr>
      <w:r w:rsidRPr="0055217E">
        <w:rPr>
          <w:rFonts w:ascii="Calibri" w:hAnsi="Calibri" w:cs="Calibri"/>
        </w:rPr>
        <w:t>Hispanic donors: +2.08%</w:t>
      </w:r>
    </w:p>
    <w:p w14:paraId="02E07118" w14:textId="77777777" w:rsidR="0055217E" w:rsidRPr="0055217E" w:rsidRDefault="0055217E" w:rsidP="0055217E">
      <w:pPr>
        <w:rPr>
          <w:rFonts w:ascii="Calibri" w:hAnsi="Calibri" w:cs="Calibri"/>
        </w:rPr>
      </w:pPr>
      <w:r w:rsidRPr="0055217E">
        <w:rPr>
          <w:rFonts w:ascii="Calibri" w:hAnsi="Calibri" w:cs="Calibri"/>
        </w:rPr>
        <w:t>At the same time, donations among Caucasian donors declined slightly (-2.03%), while African American donations remained relatively stable (-0.50%).</w:t>
      </w:r>
    </w:p>
    <w:p w14:paraId="775F4F27" w14:textId="77777777" w:rsidR="0055217E" w:rsidRPr="0055217E" w:rsidRDefault="0055217E" w:rsidP="0055217E">
      <w:pPr>
        <w:rPr>
          <w:rFonts w:ascii="Calibri" w:hAnsi="Calibri" w:cs="Calibri"/>
        </w:rPr>
      </w:pPr>
      <w:r w:rsidRPr="0055217E">
        <w:rPr>
          <w:rFonts w:ascii="Calibri" w:hAnsi="Calibri" w:cs="Calibri"/>
        </w:rPr>
        <w:t>These trends suggest continued progress toward a more representative donor population that better reflects the diversity of the communities served.</w:t>
      </w:r>
    </w:p>
    <w:p w14:paraId="1E6C762C" w14:textId="77777777" w:rsidR="0055217E" w:rsidRPr="0055217E" w:rsidRDefault="00000000" w:rsidP="0055217E">
      <w:pPr>
        <w:rPr>
          <w:rFonts w:ascii="Calibri" w:hAnsi="Calibri" w:cs="Calibri"/>
        </w:rPr>
      </w:pPr>
      <w:r>
        <w:rPr>
          <w:rFonts w:ascii="Calibri" w:hAnsi="Calibri" w:cs="Calibri"/>
        </w:rPr>
        <w:pict w14:anchorId="4C0CC8C9">
          <v:rect id="_x0000_i1029" style="width:0;height:1.5pt" o:hralign="center" o:hrstd="t" o:hr="t" fillcolor="#a0a0a0" stroked="f"/>
        </w:pict>
      </w:r>
    </w:p>
    <w:p w14:paraId="41FE28DC" w14:textId="77777777" w:rsidR="0055217E" w:rsidRPr="0055217E" w:rsidRDefault="0055217E" w:rsidP="0055217E">
      <w:pPr>
        <w:rPr>
          <w:rFonts w:ascii="Calibri" w:hAnsi="Calibri" w:cs="Calibri"/>
          <w:b/>
          <w:bCs/>
        </w:rPr>
      </w:pPr>
      <w:r w:rsidRPr="0055217E">
        <w:rPr>
          <w:rFonts w:ascii="Calibri" w:hAnsi="Calibri" w:cs="Calibri"/>
          <w:b/>
          <w:bCs/>
        </w:rPr>
        <w:t>Blood Type Distribution</w:t>
      </w:r>
    </w:p>
    <w:p w14:paraId="4E726693" w14:textId="77777777" w:rsidR="0055217E" w:rsidRPr="0055217E" w:rsidRDefault="0055217E" w:rsidP="0055217E">
      <w:pPr>
        <w:rPr>
          <w:rFonts w:ascii="Calibri" w:hAnsi="Calibri" w:cs="Calibri"/>
        </w:rPr>
      </w:pPr>
      <w:r w:rsidRPr="0055217E">
        <w:rPr>
          <w:rFonts w:ascii="Calibri" w:hAnsi="Calibri" w:cs="Calibri"/>
        </w:rPr>
        <w:t>The distribution of blood types among donors remained largely consistent with prior years.</w:t>
      </w:r>
    </w:p>
    <w:p w14:paraId="15D5E966" w14:textId="77777777" w:rsidR="0055217E" w:rsidRPr="0055217E" w:rsidRDefault="0055217E" w:rsidP="0055217E">
      <w:pPr>
        <w:numPr>
          <w:ilvl w:val="0"/>
          <w:numId w:val="4"/>
        </w:numPr>
        <w:rPr>
          <w:rFonts w:ascii="Calibri" w:hAnsi="Calibri" w:cs="Calibri"/>
        </w:rPr>
      </w:pPr>
      <w:r w:rsidRPr="0055217E">
        <w:rPr>
          <w:rFonts w:ascii="Calibri" w:hAnsi="Calibri" w:cs="Calibri"/>
        </w:rPr>
        <w:t>Type O blood accounts for approximately 49% of the donor base, making it the most common blood type among donors.</w:t>
      </w:r>
    </w:p>
    <w:p w14:paraId="4A67B948" w14:textId="77777777" w:rsidR="0055217E" w:rsidRPr="0055217E" w:rsidRDefault="0055217E" w:rsidP="0055217E">
      <w:pPr>
        <w:numPr>
          <w:ilvl w:val="0"/>
          <w:numId w:val="4"/>
        </w:numPr>
        <w:rPr>
          <w:rFonts w:ascii="Calibri" w:hAnsi="Calibri" w:cs="Calibri"/>
        </w:rPr>
      </w:pPr>
      <w:r w:rsidRPr="0055217E">
        <w:rPr>
          <w:rFonts w:ascii="Calibri" w:hAnsi="Calibri" w:cs="Calibri"/>
        </w:rPr>
        <w:lastRenderedPageBreak/>
        <w:t>O− donations increased slightly (+1.27%), which is particularly important given its role as the universal donor type used in emergency transfusions.</w:t>
      </w:r>
    </w:p>
    <w:p w14:paraId="083BE716" w14:textId="77777777" w:rsidR="0055217E" w:rsidRPr="0055217E" w:rsidRDefault="0055217E" w:rsidP="0055217E">
      <w:pPr>
        <w:rPr>
          <w:rFonts w:ascii="Calibri" w:hAnsi="Calibri" w:cs="Calibri"/>
        </w:rPr>
      </w:pPr>
      <w:r w:rsidRPr="0055217E">
        <w:rPr>
          <w:rFonts w:ascii="Calibri" w:hAnsi="Calibri" w:cs="Calibri"/>
        </w:rPr>
        <w:t>Overall, blood type distribution remained stable across the donor population.</w:t>
      </w:r>
    </w:p>
    <w:p w14:paraId="7D1CE7FE" w14:textId="77777777" w:rsidR="0055217E" w:rsidRPr="0055217E" w:rsidRDefault="00000000" w:rsidP="0055217E">
      <w:pPr>
        <w:rPr>
          <w:rFonts w:ascii="Calibri" w:hAnsi="Calibri" w:cs="Calibri"/>
        </w:rPr>
      </w:pPr>
      <w:r>
        <w:rPr>
          <w:rFonts w:ascii="Calibri" w:hAnsi="Calibri" w:cs="Calibri"/>
        </w:rPr>
        <w:pict w14:anchorId="217FA9A1">
          <v:rect id="_x0000_i1030" style="width:0;height:1.5pt" o:hralign="center" o:hrstd="t" o:hr="t" fillcolor="#a0a0a0" stroked="f"/>
        </w:pict>
      </w:r>
    </w:p>
    <w:p w14:paraId="58FCF388" w14:textId="77777777" w:rsidR="0055217E" w:rsidRPr="0055217E" w:rsidRDefault="0055217E" w:rsidP="0055217E">
      <w:pPr>
        <w:rPr>
          <w:rFonts w:ascii="Calibri" w:hAnsi="Calibri" w:cs="Calibri"/>
          <w:b/>
          <w:bCs/>
        </w:rPr>
      </w:pPr>
      <w:r w:rsidRPr="0055217E">
        <w:rPr>
          <w:rFonts w:ascii="Calibri" w:hAnsi="Calibri" w:cs="Calibri"/>
          <w:b/>
          <w:bCs/>
        </w:rPr>
        <w:t>Conclusion</w:t>
      </w:r>
    </w:p>
    <w:p w14:paraId="7B1796C6" w14:textId="77777777" w:rsidR="0055217E" w:rsidRPr="0055217E" w:rsidRDefault="0055217E" w:rsidP="0055217E">
      <w:pPr>
        <w:rPr>
          <w:rFonts w:ascii="Calibri" w:hAnsi="Calibri" w:cs="Calibri"/>
        </w:rPr>
      </w:pPr>
      <w:r w:rsidRPr="0055217E">
        <w:rPr>
          <w:rFonts w:ascii="Calibri" w:hAnsi="Calibri" w:cs="Calibri"/>
        </w:rPr>
        <w:t>The cooperative donor network continues to demonstrate strong engagement and resilience. While the overall number of donors declined slightly in 2025, the increase in donation frequency helped maintain stable blood collection levels.</w:t>
      </w:r>
    </w:p>
    <w:p w14:paraId="5300191F" w14:textId="77777777" w:rsidR="0055217E" w:rsidRPr="0055217E" w:rsidRDefault="0055217E" w:rsidP="0055217E">
      <w:pPr>
        <w:rPr>
          <w:rFonts w:ascii="Calibri" w:hAnsi="Calibri" w:cs="Calibri"/>
        </w:rPr>
      </w:pPr>
      <w:r w:rsidRPr="0055217E">
        <w:rPr>
          <w:rFonts w:ascii="Calibri" w:hAnsi="Calibri" w:cs="Calibri"/>
        </w:rPr>
        <w:t>Growth among older donors and continued diversification of the donor population provide a positive foundation moving forward. However, sustained efforts to recruit and retain younger donors will remain essential to ensure a stable and sustainable blood supply in the years ahead.</w:t>
      </w:r>
    </w:p>
    <w:p w14:paraId="0A2C1C06" w14:textId="29FF4373" w:rsidR="0051743D" w:rsidRPr="0055217E" w:rsidRDefault="0051743D" w:rsidP="0055217E"/>
    <w:sectPr w:rsidR="0051743D" w:rsidRPr="0055217E" w:rsidSect="003610B9">
      <w:pgSz w:w="12240" w:h="15840"/>
      <w:pgMar w:top="1440" w:right="1800"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E6368"/>
    <w:multiLevelType w:val="multilevel"/>
    <w:tmpl w:val="479C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119A9"/>
    <w:multiLevelType w:val="multilevel"/>
    <w:tmpl w:val="2632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EE7245"/>
    <w:multiLevelType w:val="multilevel"/>
    <w:tmpl w:val="0FF8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981A0A"/>
    <w:multiLevelType w:val="multilevel"/>
    <w:tmpl w:val="6AF0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1762670">
    <w:abstractNumId w:val="0"/>
  </w:num>
  <w:num w:numId="2" w16cid:durableId="190991704">
    <w:abstractNumId w:val="1"/>
  </w:num>
  <w:num w:numId="3" w16cid:durableId="1008217852">
    <w:abstractNumId w:val="3"/>
  </w:num>
  <w:num w:numId="4" w16cid:durableId="677732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96"/>
    <w:rsid w:val="00002F3B"/>
    <w:rsid w:val="0003595F"/>
    <w:rsid w:val="00081463"/>
    <w:rsid w:val="0027014E"/>
    <w:rsid w:val="003610B9"/>
    <w:rsid w:val="003B2663"/>
    <w:rsid w:val="003F546B"/>
    <w:rsid w:val="00493A19"/>
    <w:rsid w:val="0051743D"/>
    <w:rsid w:val="0055217E"/>
    <w:rsid w:val="00564222"/>
    <w:rsid w:val="0059341A"/>
    <w:rsid w:val="00636364"/>
    <w:rsid w:val="0071133B"/>
    <w:rsid w:val="007A0EFF"/>
    <w:rsid w:val="00806264"/>
    <w:rsid w:val="00873115"/>
    <w:rsid w:val="008C2696"/>
    <w:rsid w:val="00926699"/>
    <w:rsid w:val="0094699A"/>
    <w:rsid w:val="009D4C96"/>
    <w:rsid w:val="00A235F2"/>
    <w:rsid w:val="00A332D0"/>
    <w:rsid w:val="00A82A38"/>
    <w:rsid w:val="00AE67CD"/>
    <w:rsid w:val="00BF0AE8"/>
    <w:rsid w:val="00C4452A"/>
    <w:rsid w:val="00C8794C"/>
    <w:rsid w:val="00D16185"/>
    <w:rsid w:val="00D95499"/>
    <w:rsid w:val="00D9636B"/>
    <w:rsid w:val="00E3016A"/>
    <w:rsid w:val="00E56C9B"/>
    <w:rsid w:val="00E94567"/>
    <w:rsid w:val="00EB3FD6"/>
    <w:rsid w:val="00F6273F"/>
    <w:rsid w:val="00F9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958B7"/>
  <w15:chartTrackingRefBased/>
  <w15:docId w15:val="{226C6D0A-593F-42D1-8BC9-CE9407EE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C9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D4C9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D4C9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D4C9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D4C9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D4C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C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C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C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C9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D4C9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D4C9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D4C9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D4C9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D4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C96"/>
    <w:rPr>
      <w:rFonts w:eastAsiaTheme="majorEastAsia" w:cstheme="majorBidi"/>
      <w:color w:val="272727" w:themeColor="text1" w:themeTint="D8"/>
    </w:rPr>
  </w:style>
  <w:style w:type="paragraph" w:styleId="Title">
    <w:name w:val="Title"/>
    <w:basedOn w:val="Normal"/>
    <w:next w:val="Normal"/>
    <w:link w:val="TitleChar"/>
    <w:uiPriority w:val="10"/>
    <w:qFormat/>
    <w:rsid w:val="009D4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C96"/>
    <w:pPr>
      <w:spacing w:before="160"/>
      <w:jc w:val="center"/>
    </w:pPr>
    <w:rPr>
      <w:i/>
      <w:iCs/>
      <w:color w:val="404040" w:themeColor="text1" w:themeTint="BF"/>
    </w:rPr>
  </w:style>
  <w:style w:type="character" w:customStyle="1" w:styleId="QuoteChar">
    <w:name w:val="Quote Char"/>
    <w:basedOn w:val="DefaultParagraphFont"/>
    <w:link w:val="Quote"/>
    <w:uiPriority w:val="29"/>
    <w:rsid w:val="009D4C96"/>
    <w:rPr>
      <w:i/>
      <w:iCs/>
      <w:color w:val="404040" w:themeColor="text1" w:themeTint="BF"/>
    </w:rPr>
  </w:style>
  <w:style w:type="paragraph" w:styleId="ListParagraph">
    <w:name w:val="List Paragraph"/>
    <w:basedOn w:val="Normal"/>
    <w:uiPriority w:val="34"/>
    <w:qFormat/>
    <w:rsid w:val="009D4C96"/>
    <w:pPr>
      <w:ind w:left="720"/>
      <w:contextualSpacing/>
    </w:pPr>
  </w:style>
  <w:style w:type="character" w:styleId="IntenseEmphasis">
    <w:name w:val="Intense Emphasis"/>
    <w:basedOn w:val="DefaultParagraphFont"/>
    <w:uiPriority w:val="21"/>
    <w:qFormat/>
    <w:rsid w:val="009D4C96"/>
    <w:rPr>
      <w:i/>
      <w:iCs/>
      <w:color w:val="2E74B5" w:themeColor="accent1" w:themeShade="BF"/>
    </w:rPr>
  </w:style>
  <w:style w:type="paragraph" w:styleId="IntenseQuote">
    <w:name w:val="Intense Quote"/>
    <w:basedOn w:val="Normal"/>
    <w:next w:val="Normal"/>
    <w:link w:val="IntenseQuoteChar"/>
    <w:uiPriority w:val="30"/>
    <w:qFormat/>
    <w:rsid w:val="009D4C9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D4C96"/>
    <w:rPr>
      <w:i/>
      <w:iCs/>
      <w:color w:val="2E74B5" w:themeColor="accent1" w:themeShade="BF"/>
    </w:rPr>
  </w:style>
  <w:style w:type="character" w:styleId="IntenseReference">
    <w:name w:val="Intense Reference"/>
    <w:basedOn w:val="DefaultParagraphFont"/>
    <w:uiPriority w:val="32"/>
    <w:qFormat/>
    <w:rsid w:val="009D4C96"/>
    <w:rPr>
      <w:b/>
      <w:bCs/>
      <w:smallCaps/>
      <w:color w:val="2E74B5" w:themeColor="accent1" w:themeShade="BF"/>
      <w:spacing w:val="5"/>
    </w:rPr>
  </w:style>
  <w:style w:type="paragraph" w:styleId="NormalWeb">
    <w:name w:val="Normal (Web)"/>
    <w:basedOn w:val="Normal"/>
    <w:uiPriority w:val="99"/>
    <w:semiHidden/>
    <w:unhideWhenUsed/>
    <w:rsid w:val="0055217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521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3</Pages>
  <Words>532</Words>
  <Characters>3096</Characters>
  <Application>Microsoft Office Word</Application>
  <DocSecurity>0</DocSecurity>
  <Lines>442</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Phan</dc:creator>
  <cp:keywords/>
  <dc:description/>
  <cp:lastModifiedBy>Sandra Phan</cp:lastModifiedBy>
  <cp:revision>19</cp:revision>
  <dcterms:created xsi:type="dcterms:W3CDTF">2026-03-09T18:28:00Z</dcterms:created>
  <dcterms:modified xsi:type="dcterms:W3CDTF">2026-03-12T20:56:00Z</dcterms:modified>
</cp:coreProperties>
</file>